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759C28E4"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End w:id="0"/>
      <w:bookmarkEnd w:id="1"/>
      <w:r w:rsidR="00F5054B">
        <w:rPr>
          <w:rFonts w:ascii="Arial" w:hAnsi="Arial" w:cs="Arial"/>
          <w:b/>
          <w:bCs/>
          <w:sz w:val="20"/>
          <w:szCs w:val="20"/>
        </w:rPr>
        <w:t>Stavební bytové družstvo Havířov, Havířov, Prostřední Suchá</w:t>
      </w:r>
      <w:r w:rsidR="00DE24C1">
        <w:rPr>
          <w:rFonts w:ascii="Arial" w:hAnsi="Arial" w:cs="Arial"/>
          <w:b/>
          <w:bCs/>
          <w:sz w:val="20"/>
          <w:szCs w:val="20"/>
        </w:rPr>
        <w:tab/>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27DBC02E" w:rsidR="005A1F90" w:rsidRPr="00787687"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F5054B">
        <w:rPr>
          <w:rFonts w:ascii="Arial" w:hAnsi="Arial" w:cs="Arial"/>
          <w:b/>
          <w:bCs/>
          <w:sz w:val="20"/>
          <w:szCs w:val="20"/>
        </w:rPr>
        <w:t>Stavební bytové družstvo Havířov</w:t>
      </w:r>
    </w:p>
    <w:p w14:paraId="43CCD4CF" w14:textId="3FE931E8" w:rsidR="005A1F90" w:rsidRP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Hornosušská 1041/2, Prostřední Suchá, 735 64 Havířov</w:t>
      </w:r>
    </w:p>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4B991AA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6F3CFD">
        <w:rPr>
          <w:rFonts w:ascii="Arial" w:eastAsia="Calibri" w:hAnsi="Arial" w:cs="Arial"/>
          <w:sz w:val="20"/>
          <w:szCs w:val="20"/>
        </w:rPr>
        <w:t>Světlanou Kravčenkovou</w:t>
      </w:r>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č.ú.:</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5890F949"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612837">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056B2FCE" w:rsidR="001B4FCA" w:rsidRPr="001B4FCA" w:rsidRDefault="00F5054B"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Pr>
          <w:rFonts w:ascii="Arial" w:hAnsi="Arial" w:cs="Arial"/>
          <w:caps/>
          <w:sz w:val="18"/>
          <w:szCs w:val="20"/>
        </w:rPr>
        <w:t>REKONSTRUKCE NÁJEMNÍHO BYTU Č.</w:t>
      </w:r>
      <w:r w:rsidR="004D2E35">
        <w:rPr>
          <w:rFonts w:ascii="Arial" w:hAnsi="Arial" w:cs="Arial"/>
          <w:caps/>
          <w:sz w:val="18"/>
          <w:szCs w:val="20"/>
        </w:rPr>
        <w:t>8</w:t>
      </w:r>
      <w:r>
        <w:rPr>
          <w:rFonts w:ascii="Arial" w:hAnsi="Arial" w:cs="Arial"/>
          <w:caps/>
          <w:sz w:val="18"/>
          <w:szCs w:val="20"/>
        </w:rPr>
        <w:t xml:space="preserve"> NA UL. </w:t>
      </w:r>
      <w:r w:rsidR="004D2E35">
        <w:rPr>
          <w:rFonts w:ascii="Arial" w:hAnsi="Arial" w:cs="Arial"/>
          <w:caps/>
          <w:sz w:val="18"/>
          <w:szCs w:val="20"/>
        </w:rPr>
        <w:t>národní třída 23b</w:t>
      </w:r>
      <w:r>
        <w:rPr>
          <w:rFonts w:ascii="Arial" w:hAnsi="Arial" w:cs="Arial"/>
          <w:caps/>
          <w:sz w:val="18"/>
          <w:szCs w:val="20"/>
        </w:rPr>
        <w:t xml:space="preserve"> </w:t>
      </w:r>
      <w:r w:rsidR="006F3CFD" w:rsidRPr="006F3CFD">
        <w:rPr>
          <w:rFonts w:ascii="Arial" w:hAnsi="Arial" w:cs="Arial"/>
          <w:caps/>
          <w:sz w:val="18"/>
          <w:szCs w:val="20"/>
        </w:rPr>
        <w:t xml:space="preserve">, Havířov - </w:t>
      </w:r>
      <w:r w:rsidR="004D2E35">
        <w:rPr>
          <w:rFonts w:ascii="Arial" w:hAnsi="Arial" w:cs="Arial"/>
          <w:caps/>
          <w:sz w:val="18"/>
          <w:szCs w:val="20"/>
        </w:rPr>
        <w:t>město</w:t>
      </w:r>
      <w:r w:rsidR="006F3CFD" w:rsidRPr="006F3CFD">
        <w:rPr>
          <w:rFonts w:ascii="Arial" w:hAnsi="Arial" w:cs="Arial"/>
          <w:caps/>
          <w:sz w:val="18"/>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15F64D47" w:rsidR="005E00A7" w:rsidRPr="006D4A2E" w:rsidRDefault="001B4FCA" w:rsidP="00DE24C1">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textAlignment w:val="baseline"/>
        <w:rPr>
          <w:rFonts w:ascii="Arial" w:eastAsia="Calibri" w:hAnsi="Arial" w:cs="Arial"/>
          <w:b/>
          <w:color w:val="000000"/>
          <w:sz w:val="20"/>
          <w:szCs w:val="20"/>
        </w:rPr>
      </w:pPr>
      <w:r w:rsidRPr="006D4A2E">
        <w:rPr>
          <w:rFonts w:ascii="Arial" w:eastAsia="Calibri" w:hAnsi="Arial" w:cs="Arial"/>
          <w:color w:val="000000"/>
          <w:sz w:val="20"/>
          <w:szCs w:val="20"/>
        </w:rPr>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w:t>
      </w:r>
      <w:r w:rsidR="004D2E35">
        <w:rPr>
          <w:rFonts w:ascii="Arial" w:eastAsia="Calibri" w:hAnsi="Arial" w:cs="Arial"/>
          <w:b/>
          <w:bCs/>
          <w:color w:val="000000"/>
          <w:sz w:val="20"/>
          <w:szCs w:val="20"/>
        </w:rPr>
        <w:t>Národní Třída 23b</w:t>
      </w:r>
      <w:r w:rsidR="006F3CFD" w:rsidRPr="006F3CFD">
        <w:rPr>
          <w:rFonts w:ascii="Arial" w:eastAsia="Calibri" w:hAnsi="Arial" w:cs="Arial"/>
          <w:b/>
          <w:bCs/>
          <w:color w:val="000000"/>
          <w:sz w:val="20"/>
          <w:szCs w:val="20"/>
        </w:rPr>
        <w:t xml:space="preserve">, Havířov - </w:t>
      </w:r>
      <w:r w:rsidR="004D2E35">
        <w:rPr>
          <w:rFonts w:ascii="Arial" w:eastAsia="Calibri" w:hAnsi="Arial" w:cs="Arial"/>
          <w:b/>
          <w:bCs/>
          <w:color w:val="000000"/>
          <w:sz w:val="20"/>
          <w:szCs w:val="20"/>
        </w:rPr>
        <w:t>Město</w:t>
      </w:r>
      <w:r w:rsidR="00DE24C1">
        <w:rPr>
          <w:rFonts w:ascii="Arial" w:eastAsia="Calibri" w:hAnsi="Arial" w:cs="Arial"/>
          <w:b/>
          <w:bCs/>
          <w:color w:val="000000"/>
          <w:sz w:val="20"/>
          <w:szCs w:val="20"/>
        </w:rPr>
        <w:t>.</w:t>
      </w:r>
      <w:r w:rsidR="00DE24C1" w:rsidRPr="00DE24C1">
        <w:rPr>
          <w:rFonts w:ascii="Arial" w:eastAsia="Calibri" w:hAnsi="Arial" w:cs="Arial"/>
          <w:b/>
          <w:bCs/>
          <w:color w:val="000000"/>
          <w:sz w:val="20"/>
          <w:szCs w:val="20"/>
        </w:rPr>
        <w:tab/>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5FC5C366"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6F3CFD">
        <w:rPr>
          <w:rFonts w:ascii="Arial" w:eastAsia="Calibri" w:hAnsi="Arial" w:cs="Arial"/>
          <w:sz w:val="20"/>
          <w:szCs w:val="20"/>
        </w:rPr>
        <w:t xml:space="preserve">  kalen.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2" w:name="_MON_1178436994"/>
      <w:bookmarkStart w:id="3" w:name="_MON_1178437010"/>
      <w:bookmarkStart w:id="4" w:name="_MON_1178437053"/>
      <w:bookmarkStart w:id="5" w:name="_MON_1178437064"/>
      <w:bookmarkStart w:id="6" w:name="_MON_1178437090"/>
      <w:bookmarkStart w:id="7" w:name="_MON_1178437127"/>
      <w:bookmarkStart w:id="8" w:name="_MON_1178437184"/>
      <w:bookmarkStart w:id="9" w:name="_MON_1178530927"/>
      <w:bookmarkStart w:id="10" w:name="_MON_1179038738"/>
      <w:bookmarkStart w:id="11" w:name="_MON_1230464455"/>
      <w:bookmarkStart w:id="12" w:name="_MON_1230638547"/>
      <w:bookmarkStart w:id="13" w:name="_MON_1233406624"/>
      <w:bookmarkStart w:id="14" w:name="_MON_1237110241"/>
      <w:bookmarkStart w:id="15" w:name="_MON_1243235860"/>
      <w:bookmarkStart w:id="16" w:name="_MON_1245659428"/>
      <w:bookmarkStart w:id="17" w:name="_MON_1245659635"/>
      <w:bookmarkStart w:id="18" w:name="_MON_1245663175"/>
      <w:bookmarkStart w:id="19" w:name="_MON_1254220927"/>
      <w:bookmarkStart w:id="20" w:name="_MON_1257252019"/>
      <w:bookmarkStart w:id="21" w:name="_MON_1264233321"/>
      <w:bookmarkStart w:id="22" w:name="_MON_1264236302"/>
      <w:bookmarkStart w:id="23" w:name="_MON_1265690282"/>
      <w:bookmarkStart w:id="24" w:name="_MON_1266907179"/>
      <w:bookmarkStart w:id="25" w:name="_MON_1269067181"/>
      <w:bookmarkStart w:id="26" w:name="_MON_1270984229"/>
      <w:bookmarkStart w:id="27" w:name="_MON_1270984454"/>
      <w:bookmarkStart w:id="28" w:name="_MON_1270984531"/>
      <w:bookmarkStart w:id="29" w:name="_MON_1275720017"/>
      <w:bookmarkStart w:id="30" w:name="_MON_1276603038"/>
      <w:bookmarkStart w:id="31" w:name="_MON_1297577272"/>
      <w:bookmarkStart w:id="32" w:name="_MON_1297752374"/>
      <w:bookmarkStart w:id="33" w:name="_MON_1393822775"/>
      <w:bookmarkStart w:id="34" w:name="_MON_1393822846"/>
      <w:bookmarkStart w:id="35" w:name="_MON_1393822881"/>
      <w:bookmarkStart w:id="36" w:name="_MON_1393823582"/>
      <w:bookmarkStart w:id="37" w:name="_MON_1393823655"/>
      <w:bookmarkStart w:id="38" w:name="_MON_1396158079"/>
      <w:bookmarkStart w:id="39" w:name="_MON_1396158110"/>
      <w:bookmarkStart w:id="40" w:name="_MON_1396158125"/>
      <w:bookmarkStart w:id="41" w:name="_MON_1396173033"/>
      <w:bookmarkStart w:id="42" w:name="_MON_1178436404"/>
      <w:bookmarkStart w:id="43" w:name="_MON_1405169317"/>
      <w:bookmarkStart w:id="44" w:name="_MON_1178436434"/>
      <w:bookmarkStart w:id="45" w:name="_MON_1178436481"/>
      <w:bookmarkStart w:id="46" w:name="_MON_1178436511"/>
      <w:bookmarkStart w:id="47" w:name="_MON_1178436575"/>
      <w:bookmarkStart w:id="48" w:name="_MON_1178436915"/>
      <w:bookmarkStart w:id="49" w:name="_MON_141312394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(pdf)*, a to ekonomickému úseku objednatele.</w:t>
      </w:r>
    </w:p>
    <w:p w14:paraId="2D210B9B" w14:textId="77777777" w:rsidR="00737546" w:rsidRDefault="00737546" w:rsidP="00737546">
      <w:pPr>
        <w:tabs>
          <w:tab w:val="left" w:pos="0"/>
          <w:tab w:val="left" w:pos="426"/>
        </w:tabs>
        <w:spacing w:after="0" w:line="240" w:lineRule="auto"/>
        <w:ind w:left="360"/>
        <w:jc w:val="both"/>
        <w:rPr>
          <w:rFonts w:ascii="Arial" w:eastAsia="Calibri" w:hAnsi="Arial" w:cs="Arial"/>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lastRenderedPageBreak/>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1CD3B46C"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1B4915">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737546">
        <w:rPr>
          <w:rFonts w:ascii="Arial" w:eastAsia="Calibri" w:hAnsi="Arial" w:cs="Arial"/>
          <w:color w:val="000000"/>
          <w:sz w:val="20"/>
          <w:szCs w:val="20"/>
        </w:rPr>
        <w:t>…..</w:t>
      </w:r>
      <w:r>
        <w:rPr>
          <w:rFonts w:ascii="Arial" w:eastAsia="Calibri" w:hAnsi="Arial" w:cs="Arial"/>
          <w:color w:val="000000"/>
          <w:sz w:val="20"/>
          <w:szCs w:val="20"/>
        </w:rPr>
        <w:t>……….202</w:t>
      </w:r>
      <w:r w:rsidR="001B4915">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1F24617D"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DE24C1">
        <w:rPr>
          <w:rFonts w:ascii="Arial" w:eastAsia="Calibri" w:hAnsi="Arial" w:cs="Arial"/>
          <w:color w:val="000000"/>
          <w:sz w:val="20"/>
          <w:szCs w:val="20"/>
        </w:rPr>
        <w:t>Z</w:t>
      </w:r>
      <w:r w:rsidR="005A1F90">
        <w:rPr>
          <w:rFonts w:ascii="Arial" w:eastAsia="Calibri" w:hAnsi="Arial" w:cs="Arial"/>
          <w:color w:val="000000"/>
          <w:sz w:val="20"/>
          <w:szCs w:val="20"/>
        </w:rPr>
        <w:t>hotovitel</w:t>
      </w:r>
    </w:p>
    <w:p w14:paraId="5AC9A2E7" w14:textId="0D397056" w:rsidR="00566135" w:rsidRDefault="00DE24C1" w:rsidP="006F3CFD">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DE24C1">
        <w:rPr>
          <w:rFonts w:ascii="Arial" w:hAnsi="Arial" w:cs="Arial"/>
          <w:b/>
          <w:bCs/>
          <w:sz w:val="20"/>
          <w:szCs w:val="20"/>
        </w:rPr>
        <w:tab/>
      </w:r>
      <w:r w:rsidR="00716661" w:rsidRPr="005A1F90">
        <w:rPr>
          <w:rFonts w:ascii="Arial" w:eastAsia="Calibri" w:hAnsi="Arial" w:cs="Arial"/>
          <w:b/>
          <w:bCs/>
          <w:color w:val="000000"/>
          <w:sz w:val="20"/>
          <w:szCs w:val="20"/>
        </w:rPr>
        <w:tab/>
      </w:r>
      <w:r w:rsidR="00716661">
        <w:rPr>
          <w:rFonts w:ascii="Arial" w:eastAsia="Calibri" w:hAnsi="Arial" w:cs="Arial"/>
          <w:color w:val="000000"/>
          <w:sz w:val="20"/>
          <w:szCs w:val="20"/>
        </w:rPr>
        <w:tab/>
      </w:r>
      <w:r w:rsidR="00716661">
        <w:rPr>
          <w:rFonts w:ascii="Arial" w:eastAsia="Calibri" w:hAnsi="Arial" w:cs="Arial"/>
          <w:color w:val="000000"/>
          <w:sz w:val="20"/>
          <w:szCs w:val="20"/>
        </w:rPr>
        <w:tab/>
      </w:r>
      <w:bookmarkStart w:id="50" w:name="_Hlk164142227"/>
    </w:p>
    <w:bookmarkEnd w:id="50"/>
    <w:p w14:paraId="594A65F2" w14:textId="78849EE7"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 bytov</w:t>
      </w:r>
      <w:r w:rsidR="00F5054B">
        <w:rPr>
          <w:rFonts w:ascii="Arial" w:eastAsia="Calibri" w:hAnsi="Arial" w:cs="Arial"/>
          <w:sz w:val="20"/>
          <w:szCs w:val="20"/>
        </w:rPr>
        <w:t>é</w:t>
      </w:r>
      <w:r w:rsidR="001D124A">
        <w:rPr>
          <w:rFonts w:ascii="Arial" w:eastAsia="Calibri" w:hAnsi="Arial" w:cs="Arial"/>
          <w:sz w:val="20"/>
          <w:szCs w:val="20"/>
        </w:rPr>
        <w:t xml:space="preserve"> družst</w:t>
      </w:r>
      <w:r w:rsidR="002E02A4">
        <w:rPr>
          <w:rFonts w:ascii="Arial" w:eastAsia="Calibri" w:hAnsi="Arial" w:cs="Arial"/>
          <w:sz w:val="20"/>
          <w:szCs w:val="20"/>
        </w:rPr>
        <w:t>v</w:t>
      </w:r>
      <w:r w:rsidR="00F5054B">
        <w:rPr>
          <w:rFonts w:ascii="Arial" w:eastAsia="Calibri" w:hAnsi="Arial" w:cs="Arial"/>
          <w:sz w:val="20"/>
          <w:szCs w:val="20"/>
        </w:rPr>
        <w:t>o</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4EE0997A"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6F3CFD">
        <w:rPr>
          <w:rFonts w:ascii="Arial" w:eastAsia="Calibri" w:hAnsi="Arial" w:cs="Arial"/>
          <w:sz w:val="20"/>
          <w:szCs w:val="20"/>
        </w:rPr>
        <w:t>Světlanou Kravčenkovou</w:t>
      </w:r>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58D45B62"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1"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1"/>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2" w:name="ČÁST_I.__OBECNÁ_USTANOVENÍ0"/>
      <w:bookmarkEnd w:id="52"/>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3" w:name="ČÁST_III._POVINNOSTI_ZHOTOVITELE0"/>
      <w:bookmarkEnd w:id="53"/>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4" w:name="PREAMBULE"/>
      <w:r w:rsidRPr="001B4FCA">
        <w:rPr>
          <w:rFonts w:ascii="Calibri" w:eastAsia="Calibri" w:hAnsi="Calibri" w:cs="Times New Roman"/>
          <w:b/>
          <w:bCs/>
          <w:caps/>
          <w:sz w:val="18"/>
          <w:szCs w:val="18"/>
        </w:rPr>
        <w:t>PREAMBULE</w:t>
      </w:r>
      <w:bookmarkEnd w:id="54"/>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5" w:name="ČÁST_I.__OBECNÁ_USTANOVENÍ"/>
      <w:bookmarkEnd w:id="55"/>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6" w:name="ČÁST_II.__POVINNOSTI_OBJEDNATELE"/>
      <w:bookmarkEnd w:id="56"/>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včas poskytovat zhotoviteli součinnost potřebnou pro jeho plnění podle smlouvy o dílo a těchto </w:t>
      </w:r>
      <w:r w:rsidRPr="001B4FCA">
        <w:rPr>
          <w:rFonts w:ascii="Calibri" w:eastAsia="Calibri" w:hAnsi="Calibri" w:cs="Times New Roman"/>
          <w:sz w:val="18"/>
          <w:szCs w:val="18"/>
        </w:rPr>
        <w:lastRenderedPageBreak/>
        <w:t>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7" w:name="ČÁST_III._POVINNOSTI_ZHOTOVITELE"/>
      <w:bookmarkEnd w:id="57"/>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8" w:name="ČÁST_IV._PODZHOTOVITELÉ"/>
      <w:bookmarkEnd w:id="58"/>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9" w:name="ČÁST_V._PŘEDMĚT_A_ROZSAH_DÍLA"/>
      <w:bookmarkEnd w:id="59"/>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0" w:name="ČÁST_VI._CENA_DÍLA"/>
      <w:bookmarkEnd w:id="60"/>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II.__ZMĚNA_CENY"/>
      <w:bookmarkEnd w:id="61"/>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III._PLATEBNÍ_PODMÍNKY"/>
      <w:bookmarkEnd w:id="62"/>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3" w:name="ČÁST_IX._VLASTNICTVÍ_DÍLA_A_NEBEZPEČÍ_ŠK"/>
      <w:bookmarkEnd w:id="63"/>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4" w:name="ČÁST_X.__POJIŠTĚNÍ_ZHOTOVITELE_A_DÍLA"/>
      <w:bookmarkEnd w:id="64"/>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5" w:name="ČÁST_XI._BANKOVNÍ_ZÁRUKY"/>
      <w:bookmarkEnd w:id="65"/>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6" w:name="ČÁST_XII.__STAVENIŠTĚ"/>
      <w:bookmarkEnd w:id="66"/>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II.__PROVÁDĚNÍ_DÍLA_"/>
      <w:bookmarkEnd w:id="67"/>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 xml:space="preserve">(1) Zjistí-li objednatel, že zhotovitel provádí dílo v rozporu s povinnostmi vyplývajícími ze smlouvy nebo z obecně závazných právních předpisů, je oprávněn vyzvat zhotovitele, aby odstranil vady vzniklé vadným prováděním a dílo prováděl řádným </w:t>
      </w:r>
      <w:r w:rsidRPr="001B4FCA">
        <w:rPr>
          <w:rFonts w:ascii="Calibri" w:eastAsia="Calibri" w:hAnsi="Calibri" w:cs="Times New Roman"/>
          <w:sz w:val="18"/>
          <w:szCs w:val="18"/>
        </w:rPr>
        <w:lastRenderedPageBreak/>
        <w:t>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(pdf)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V.__TECHNOLOGICKÉ_ZAŘÍZENÍ"/>
      <w:bookmarkEnd w:id="68"/>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69" w:name="ČÁST_XV.__BEZPEČNOST_PRÁCE"/>
      <w:bookmarkEnd w:id="69"/>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lastRenderedPageBreak/>
        <w:t>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vyhl.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VI.__KONTROLY,_ZKOUŠKY_A_REVIZE"/>
      <w:bookmarkEnd w:id="70"/>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1" w:name="ČÁST_XVII.__PŘEDÁNÍ_A_PŘEVZETÍ_DÍLA"/>
      <w:bookmarkEnd w:id="71"/>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II.__ODPOVĚDNOST_ZA_VADY_DÍLA"/>
      <w:bookmarkEnd w:id="72"/>
      <w:r w:rsidRPr="001B4FCA">
        <w:rPr>
          <w:rFonts w:ascii="Calibri" w:eastAsia="Calibri" w:hAnsi="Calibri" w:cs="Times New Roman"/>
          <w:b/>
          <w:bCs/>
          <w:caps/>
          <w:sz w:val="18"/>
          <w:szCs w:val="18"/>
        </w:rPr>
        <w:lastRenderedPageBreak/>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IX._VYŠŠÍ_MOC"/>
      <w:bookmarkEnd w:id="73"/>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X.__ZMĚNA_SMLOUVY"/>
      <w:bookmarkEnd w:id="74"/>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5" w:name="ČÁST_XXI._PŘEVOD_PRÁV_A_POVINNOSTÍ_ZE_SM"/>
      <w:bookmarkEnd w:id="75"/>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r>
      <w:r w:rsidRPr="001B4FCA">
        <w:rPr>
          <w:rFonts w:ascii="Calibri" w:eastAsia="Calibri" w:hAnsi="Calibri" w:cs="Times New Roman"/>
          <w:b/>
          <w:bCs/>
          <w:caps/>
          <w:sz w:val="18"/>
          <w:szCs w:val="18"/>
        </w:rPr>
        <w:lastRenderedPageBreak/>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6" w:name="ČÁST_XXII.__SMLUVNÍ_POKUTY_"/>
      <w:bookmarkEnd w:id="76"/>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15D10465"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787687">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 xml:space="preserve">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w:t>
      </w:r>
      <w:r w:rsidRPr="001B4FCA">
        <w:rPr>
          <w:rFonts w:ascii="Calibri" w:eastAsia="Calibri" w:hAnsi="Calibri" w:cs="Times New Roman"/>
          <w:sz w:val="18"/>
          <w:szCs w:val="18"/>
        </w:rPr>
        <w:lastRenderedPageBreak/>
        <w:t>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XIII.__DŮVĚRNÉ_INFORMACE_A_DUŠEVNÍ"/>
      <w:bookmarkEnd w:id="77"/>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8" w:name="ČÁST_XXIV.__ODSTOUPENÍ_OD_SMLOUVY"/>
      <w:bookmarkEnd w:id="78"/>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9" w:name="ČÁST_XXV._ŘEŠENÍ_SPORŮ"/>
      <w:bookmarkEnd w:id="79"/>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708F2598" w14:textId="37E001F3" w:rsidR="00600BA5" w:rsidRDefault="001B4FCA" w:rsidP="00F95F2C">
      <w:pPr>
        <w:spacing w:after="0" w:line="240" w:lineRule="auto"/>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2D2EF" w14:textId="77777777" w:rsidR="00775DA3" w:rsidRDefault="00775DA3" w:rsidP="001B4FCA">
      <w:pPr>
        <w:spacing w:after="0" w:line="240" w:lineRule="auto"/>
      </w:pPr>
      <w:r>
        <w:separator/>
      </w:r>
    </w:p>
  </w:endnote>
  <w:endnote w:type="continuationSeparator" w:id="0">
    <w:p w14:paraId="3BA967DC" w14:textId="77777777" w:rsidR="00775DA3" w:rsidRDefault="00775DA3"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B3682D" w:rsidRDefault="00B3682D">
    <w:pPr>
      <w:pStyle w:val="Zpat"/>
      <w:jc w:val="right"/>
    </w:pPr>
  </w:p>
  <w:p w14:paraId="32574B78" w14:textId="77777777" w:rsidR="00B3682D" w:rsidRPr="00CE140B" w:rsidRDefault="00B3682D"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B3682D"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B3682D" w:rsidRPr="006B6D14" w:rsidRDefault="00B3682D">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81384" w14:textId="77777777" w:rsidR="00775DA3" w:rsidRDefault="00775DA3" w:rsidP="001B4FCA">
      <w:pPr>
        <w:spacing w:after="0" w:line="240" w:lineRule="auto"/>
      </w:pPr>
      <w:r>
        <w:separator/>
      </w:r>
    </w:p>
  </w:footnote>
  <w:footnote w:type="continuationSeparator" w:id="0">
    <w:p w14:paraId="436E2C16" w14:textId="77777777" w:rsidR="00775DA3" w:rsidRDefault="00775DA3"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B3682D" w:rsidRPr="007928A1" w:rsidRDefault="00B3682D">
    <w:pPr>
      <w:pStyle w:val="Zhlav1"/>
      <w:rPr>
        <w:sz w:val="20"/>
        <w:szCs w:val="20"/>
      </w:rPr>
    </w:pPr>
  </w:p>
  <w:p w14:paraId="127D80B4" w14:textId="77777777" w:rsidR="00B3682D" w:rsidRDefault="00B3682D">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9598D"/>
    <w:rsid w:val="000A1D1C"/>
    <w:rsid w:val="000B2E6E"/>
    <w:rsid w:val="000C0586"/>
    <w:rsid w:val="000E4417"/>
    <w:rsid w:val="00146D71"/>
    <w:rsid w:val="001801D6"/>
    <w:rsid w:val="00193B7A"/>
    <w:rsid w:val="001B4915"/>
    <w:rsid w:val="001B4FCA"/>
    <w:rsid w:val="001D124A"/>
    <w:rsid w:val="0020191F"/>
    <w:rsid w:val="00255BF3"/>
    <w:rsid w:val="002633B7"/>
    <w:rsid w:val="00291578"/>
    <w:rsid w:val="002E02A4"/>
    <w:rsid w:val="00310F77"/>
    <w:rsid w:val="00350DC7"/>
    <w:rsid w:val="003E77E7"/>
    <w:rsid w:val="00400C49"/>
    <w:rsid w:val="00411380"/>
    <w:rsid w:val="00456E4D"/>
    <w:rsid w:val="0048796B"/>
    <w:rsid w:val="004B67E0"/>
    <w:rsid w:val="004D2E35"/>
    <w:rsid w:val="004E4676"/>
    <w:rsid w:val="00566135"/>
    <w:rsid w:val="005A1F90"/>
    <w:rsid w:val="005A477F"/>
    <w:rsid w:val="005D3CEF"/>
    <w:rsid w:val="005E00A7"/>
    <w:rsid w:val="005E22B4"/>
    <w:rsid w:val="00600BA5"/>
    <w:rsid w:val="00612837"/>
    <w:rsid w:val="0061783A"/>
    <w:rsid w:val="0063476C"/>
    <w:rsid w:val="00661232"/>
    <w:rsid w:val="006C2B5F"/>
    <w:rsid w:val="006D4A2E"/>
    <w:rsid w:val="006E06FD"/>
    <w:rsid w:val="006F3CFD"/>
    <w:rsid w:val="00716661"/>
    <w:rsid w:val="007250F7"/>
    <w:rsid w:val="00736C4A"/>
    <w:rsid w:val="00737546"/>
    <w:rsid w:val="00775DA3"/>
    <w:rsid w:val="00787687"/>
    <w:rsid w:val="007A47DC"/>
    <w:rsid w:val="007E7CED"/>
    <w:rsid w:val="008224E1"/>
    <w:rsid w:val="009140D9"/>
    <w:rsid w:val="009142DA"/>
    <w:rsid w:val="00952D2A"/>
    <w:rsid w:val="0096462A"/>
    <w:rsid w:val="009C4057"/>
    <w:rsid w:val="00A04042"/>
    <w:rsid w:val="00B3682D"/>
    <w:rsid w:val="00B44E06"/>
    <w:rsid w:val="00B63910"/>
    <w:rsid w:val="00BB2683"/>
    <w:rsid w:val="00BD0BED"/>
    <w:rsid w:val="00C21BA3"/>
    <w:rsid w:val="00C32A2B"/>
    <w:rsid w:val="00C606C4"/>
    <w:rsid w:val="00C71E26"/>
    <w:rsid w:val="00CD2875"/>
    <w:rsid w:val="00D500B9"/>
    <w:rsid w:val="00DE24C1"/>
    <w:rsid w:val="00DE3B70"/>
    <w:rsid w:val="00E049F7"/>
    <w:rsid w:val="00E93562"/>
    <w:rsid w:val="00F04B89"/>
    <w:rsid w:val="00F255E4"/>
    <w:rsid w:val="00F41E31"/>
    <w:rsid w:val="00F43049"/>
    <w:rsid w:val="00F5054B"/>
    <w:rsid w:val="00F958C0"/>
    <w:rsid w:val="00F95F2C"/>
    <w:rsid w:val="00FD14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18</Pages>
  <Words>10112</Words>
  <Characters>59665</Characters>
  <Application>Microsoft Office Word</Application>
  <DocSecurity>0</DocSecurity>
  <Lines>497</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SBD Havířov</cp:lastModifiedBy>
  <cp:revision>15</cp:revision>
  <dcterms:created xsi:type="dcterms:W3CDTF">2024-04-16T04:47:00Z</dcterms:created>
  <dcterms:modified xsi:type="dcterms:W3CDTF">2025-06-03T10:20:00Z</dcterms:modified>
</cp:coreProperties>
</file>