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0FA17399"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B41A55" w:rsidRPr="001B4FCA">
        <w:rPr>
          <w:rFonts w:ascii="Arial" w:eastAsia="Calibri" w:hAnsi="Arial" w:cs="Arial"/>
          <w:b/>
          <w:sz w:val="20"/>
          <w:szCs w:val="20"/>
        </w:rPr>
        <w:t>Stavební bytov</w:t>
      </w:r>
      <w:r w:rsidR="00B41A55">
        <w:rPr>
          <w:rFonts w:ascii="Arial" w:eastAsia="Calibri" w:hAnsi="Arial" w:cs="Arial"/>
          <w:b/>
          <w:sz w:val="20"/>
          <w:szCs w:val="20"/>
        </w:rPr>
        <w:t>é</w:t>
      </w:r>
      <w:r w:rsidR="00B41A55" w:rsidRPr="001B4FCA">
        <w:rPr>
          <w:rFonts w:ascii="Arial" w:eastAsia="Calibri" w:hAnsi="Arial" w:cs="Arial"/>
          <w:b/>
          <w:sz w:val="20"/>
          <w:szCs w:val="20"/>
        </w:rPr>
        <w:t xml:space="preserve"> družstv</w:t>
      </w:r>
      <w:r w:rsidR="00B41A55">
        <w:rPr>
          <w:rFonts w:ascii="Arial" w:eastAsia="Calibri" w:hAnsi="Arial" w:cs="Arial"/>
          <w:b/>
          <w:sz w:val="20"/>
          <w:szCs w:val="20"/>
        </w:rPr>
        <w:t xml:space="preserve">em </w:t>
      </w:r>
      <w:r w:rsidR="00B41A55" w:rsidRPr="001B4FCA">
        <w:rPr>
          <w:rFonts w:ascii="Arial" w:eastAsia="Calibri" w:hAnsi="Arial" w:cs="Arial"/>
          <w:b/>
          <w:sz w:val="20"/>
          <w:szCs w:val="20"/>
        </w:rPr>
        <w:t>Havířov</w:t>
      </w:r>
      <w:r w:rsidR="00B41A55">
        <w:rPr>
          <w:rFonts w:ascii="Arial" w:eastAsia="Calibri" w:hAnsi="Arial" w:cs="Arial"/>
          <w:b/>
          <w:sz w:val="20"/>
          <w:szCs w:val="20"/>
        </w:rPr>
        <w:t xml:space="preserve">, </w:t>
      </w:r>
      <w:proofErr w:type="spellStart"/>
      <w:r w:rsidR="00B41A55" w:rsidRPr="001B4FCA">
        <w:rPr>
          <w:rFonts w:ascii="Arial" w:eastAsia="Calibri" w:hAnsi="Arial" w:cs="Arial"/>
          <w:sz w:val="20"/>
          <w:szCs w:val="20"/>
        </w:rPr>
        <w:t>Hornosušská</w:t>
      </w:r>
      <w:proofErr w:type="spellEnd"/>
      <w:r w:rsidR="00B41A55" w:rsidRPr="001B4FCA">
        <w:rPr>
          <w:rFonts w:ascii="Arial" w:eastAsia="Calibri" w:hAnsi="Arial" w:cs="Arial"/>
          <w:sz w:val="20"/>
          <w:szCs w:val="20"/>
        </w:rPr>
        <w:t xml:space="preserve"> 1041/2, Prostřední Suchá, 735 64 Havířov</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77777777" w:rsidR="00684D70" w:rsidRPr="00684D70" w:rsidRDefault="009140D9"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684D70" w:rsidRPr="00684D70">
        <w:rPr>
          <w:rFonts w:ascii="Arial" w:eastAsia="Calibri" w:hAnsi="Arial" w:cs="Arial"/>
          <w:b/>
          <w:bCs/>
          <w:sz w:val="20"/>
          <w:szCs w:val="20"/>
        </w:rPr>
        <w:t xml:space="preserve">Společenství vlastníků Odlehlá 1139/ 8, Havířov, </w:t>
      </w:r>
      <w:proofErr w:type="spellStart"/>
      <w:r w:rsidR="00684D70" w:rsidRPr="00684D70">
        <w:rPr>
          <w:rFonts w:ascii="Arial" w:eastAsia="Calibri" w:hAnsi="Arial" w:cs="Arial"/>
          <w:b/>
          <w:bCs/>
          <w:sz w:val="20"/>
          <w:szCs w:val="20"/>
        </w:rPr>
        <w:t>Šumbark</w:t>
      </w:r>
      <w:proofErr w:type="spellEnd"/>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44113956" w14:textId="72439B57"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t>28606337</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2" w:name="_Hlk90030236"/>
      <w:r w:rsidRPr="00684D70">
        <w:rPr>
          <w:rFonts w:ascii="Arial" w:eastAsia="Calibri" w:hAnsi="Arial" w:cs="Arial"/>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w:t>
      </w:r>
      <w:proofErr w:type="spellStart"/>
      <w:r w:rsidRPr="00684D70">
        <w:rPr>
          <w:rFonts w:ascii="Arial" w:eastAsia="Calibri" w:hAnsi="Arial" w:cs="Arial"/>
          <w:sz w:val="20"/>
          <w:szCs w:val="20"/>
        </w:rPr>
        <w:t>sp.zn</w:t>
      </w:r>
      <w:proofErr w:type="spellEnd"/>
      <w:r w:rsidRPr="00684D70">
        <w:rPr>
          <w:rFonts w:ascii="Arial" w:eastAsia="Calibri" w:hAnsi="Arial" w:cs="Arial"/>
          <w:sz w:val="20"/>
          <w:szCs w:val="20"/>
        </w:rPr>
        <w:t xml:space="preserve">: </w:t>
      </w:r>
      <w:proofErr w:type="spellStart"/>
      <w:r w:rsidRPr="00684D70">
        <w:rPr>
          <w:rFonts w:ascii="Arial" w:eastAsia="Calibri" w:hAnsi="Arial" w:cs="Arial"/>
          <w:sz w:val="20"/>
          <w:szCs w:val="20"/>
        </w:rPr>
        <w:t>DrXXII</w:t>
      </w:r>
      <w:proofErr w:type="spellEnd"/>
      <w:r w:rsidRPr="00684D70">
        <w:rPr>
          <w:rFonts w:ascii="Arial" w:eastAsia="Calibri" w:hAnsi="Arial" w:cs="Arial"/>
          <w:sz w:val="20"/>
          <w:szCs w:val="20"/>
        </w:rPr>
        <w:t xml:space="preserve">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18E09870"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Pr="00684D70">
        <w:rPr>
          <w:rFonts w:ascii="Arial" w:eastAsia="Calibri" w:hAnsi="Arial" w:cs="Arial"/>
          <w:sz w:val="20"/>
          <w:szCs w:val="20"/>
        </w:rPr>
        <w:t xml:space="preserve">Ing. Světlanou </w:t>
      </w:r>
      <w:proofErr w:type="spellStart"/>
      <w:r w:rsidRPr="00684D70">
        <w:rPr>
          <w:rFonts w:ascii="Arial" w:eastAsia="Calibri" w:hAnsi="Arial" w:cs="Arial"/>
          <w:sz w:val="20"/>
          <w:szCs w:val="20"/>
        </w:rPr>
        <w:t>Kravčenkovou</w:t>
      </w:r>
      <w:proofErr w:type="spellEnd"/>
      <w:r w:rsidRPr="00684D70">
        <w:rPr>
          <w:rFonts w:ascii="Arial" w:eastAsia="Calibri" w:hAnsi="Arial" w:cs="Arial"/>
          <w:sz w:val="20"/>
          <w:szCs w:val="20"/>
        </w:rPr>
        <w:t>, členem představenstva</w:t>
      </w:r>
    </w:p>
    <w:bookmarkEnd w:id="2"/>
    <w:p w14:paraId="07F55715" w14:textId="60E79D18"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r>
      <w:proofErr w:type="spellStart"/>
      <w:r w:rsidRPr="00684D70">
        <w:rPr>
          <w:rFonts w:ascii="Arial" w:eastAsia="Calibri" w:hAnsi="Arial" w:cs="Arial"/>
          <w:sz w:val="20"/>
          <w:szCs w:val="20"/>
        </w:rPr>
        <w:t>č.ú</w:t>
      </w:r>
      <w:proofErr w:type="spellEnd"/>
      <w:r w:rsidRPr="00684D70">
        <w:rPr>
          <w:rFonts w:ascii="Arial" w:eastAsia="Calibri" w:hAnsi="Arial" w:cs="Arial"/>
          <w:sz w:val="20"/>
          <w:szCs w:val="20"/>
        </w:rPr>
        <w:t>. 1478874/ 0300 u ČSOB a.s.</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23DBD559" w:rsidR="001B4FCA" w:rsidRPr="001B4FCA" w:rsidRDefault="00684D70" w:rsidP="00F44943">
      <w:pPr>
        <w:pStyle w:val="Default"/>
        <w:ind w:left="360"/>
        <w:rPr>
          <w:rFonts w:ascii="Arial" w:hAnsi="Arial" w:cs="Arial"/>
          <w:sz w:val="20"/>
          <w:szCs w:val="20"/>
        </w:rPr>
      </w:pPr>
      <w:r w:rsidRPr="00684D70">
        <w:rPr>
          <w:rFonts w:ascii="Arial" w:eastAsiaTheme="minorHAnsi" w:hAnsi="Arial" w:cs="Arial"/>
          <w:caps/>
          <w:color w:val="auto"/>
          <w:sz w:val="18"/>
          <w:szCs w:val="20"/>
        </w:rPr>
        <w:t>Revitalizace a stavební úpravy bytového domu na ulici Odlehlá 8, Havířov</w:t>
      </w:r>
      <w:r w:rsidRPr="00684D70">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1B519B39"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684D70" w:rsidRPr="00684D70">
        <w:rPr>
          <w:rFonts w:ascii="Arial" w:eastAsia="Calibri" w:hAnsi="Arial" w:cs="Arial"/>
          <w:b/>
          <w:bCs/>
          <w:color w:val="000000"/>
          <w:sz w:val="20"/>
          <w:szCs w:val="20"/>
        </w:rPr>
        <w:t>Odlehlá 8, Havířov</w:t>
      </w:r>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4FE0725E" w14:textId="2218D97A" w:rsidR="00684D70" w:rsidRPr="00684D70" w:rsidRDefault="00684D70" w:rsidP="001B4FCA">
      <w:pPr>
        <w:spacing w:after="0" w:line="240" w:lineRule="auto"/>
        <w:rPr>
          <w:rFonts w:ascii="Arial" w:eastAsia="Calibri" w:hAnsi="Arial" w:cs="Arial"/>
          <w:b/>
          <w:bCs/>
          <w:sz w:val="20"/>
          <w:szCs w:val="20"/>
        </w:rPr>
      </w:pPr>
      <w:r w:rsidRPr="00684D70">
        <w:rPr>
          <w:rFonts w:ascii="Arial" w:eastAsia="Calibri" w:hAnsi="Arial" w:cs="Arial"/>
          <w:b/>
          <w:bCs/>
          <w:sz w:val="20"/>
          <w:szCs w:val="20"/>
        </w:rPr>
        <w:t xml:space="preserve">Společenství vlastníků Odlehlá 1139/8, Havířov, </w:t>
      </w:r>
      <w:proofErr w:type="spellStart"/>
      <w:r w:rsidRPr="00684D70">
        <w:rPr>
          <w:rFonts w:ascii="Arial" w:eastAsia="Calibri" w:hAnsi="Arial" w:cs="Arial"/>
          <w:b/>
          <w:bCs/>
          <w:sz w:val="20"/>
          <w:szCs w:val="20"/>
        </w:rPr>
        <w:t>Šumbark</w:t>
      </w:r>
      <w:proofErr w:type="spellEnd"/>
    </w:p>
    <w:p w14:paraId="1579BBDC" w14:textId="1C361B12"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E6D33C1"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(2) Tyto VOP jsou součástí uzavírané smlouvy o dílo a musí být ke každé smlouvě přiloženy tak, aby byly oběma smluvním stranám dostupné. V případě, že SBD uzavře se stejným dodavatelem několik smluv, lze tyto VOP přiložit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 xml:space="preserve">e) doklady o provedených průzkumech (např. stavebně technický průzkum, geotechnický průzkum, archeologický průzkum, </w:t>
      </w:r>
      <w:r w:rsidRPr="001B4FCA">
        <w:rPr>
          <w:rFonts w:ascii="Calibri" w:eastAsia="Calibri" w:hAnsi="Calibri" w:cs="Times New Roman"/>
          <w:sz w:val="18"/>
          <w:szCs w:val="18"/>
        </w:rPr>
        <w:lastRenderedPageBreak/>
        <w:t>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310F77"/>
    <w:rsid w:val="00336CB1"/>
    <w:rsid w:val="00350DC7"/>
    <w:rsid w:val="0036114A"/>
    <w:rsid w:val="00375C6F"/>
    <w:rsid w:val="003C1F03"/>
    <w:rsid w:val="003E77E7"/>
    <w:rsid w:val="00411B39"/>
    <w:rsid w:val="00456E4D"/>
    <w:rsid w:val="00467990"/>
    <w:rsid w:val="0048796B"/>
    <w:rsid w:val="004B67E0"/>
    <w:rsid w:val="004D0BF8"/>
    <w:rsid w:val="004E1007"/>
    <w:rsid w:val="004E4676"/>
    <w:rsid w:val="00566135"/>
    <w:rsid w:val="005A1F90"/>
    <w:rsid w:val="005A477F"/>
    <w:rsid w:val="005E00A7"/>
    <w:rsid w:val="00600BA5"/>
    <w:rsid w:val="006047BF"/>
    <w:rsid w:val="006239CC"/>
    <w:rsid w:val="0063277D"/>
    <w:rsid w:val="00661232"/>
    <w:rsid w:val="00684D70"/>
    <w:rsid w:val="00692833"/>
    <w:rsid w:val="006C520F"/>
    <w:rsid w:val="006D4A2E"/>
    <w:rsid w:val="006E06FD"/>
    <w:rsid w:val="00716661"/>
    <w:rsid w:val="007250F7"/>
    <w:rsid w:val="00733D18"/>
    <w:rsid w:val="00734EE9"/>
    <w:rsid w:val="00736C4A"/>
    <w:rsid w:val="00764DA7"/>
    <w:rsid w:val="007B36A0"/>
    <w:rsid w:val="007E7CED"/>
    <w:rsid w:val="00810931"/>
    <w:rsid w:val="008157EF"/>
    <w:rsid w:val="008224E1"/>
    <w:rsid w:val="008834C6"/>
    <w:rsid w:val="008D25F1"/>
    <w:rsid w:val="00912EC2"/>
    <w:rsid w:val="009140D9"/>
    <w:rsid w:val="0096462A"/>
    <w:rsid w:val="009C4057"/>
    <w:rsid w:val="00A04042"/>
    <w:rsid w:val="00A32B49"/>
    <w:rsid w:val="00AB1025"/>
    <w:rsid w:val="00AB4043"/>
    <w:rsid w:val="00AD0C20"/>
    <w:rsid w:val="00AF6FC8"/>
    <w:rsid w:val="00B06FAD"/>
    <w:rsid w:val="00B41A55"/>
    <w:rsid w:val="00B50846"/>
    <w:rsid w:val="00B93D2B"/>
    <w:rsid w:val="00BB2683"/>
    <w:rsid w:val="00BD0BED"/>
    <w:rsid w:val="00C32A2B"/>
    <w:rsid w:val="00C36A73"/>
    <w:rsid w:val="00C606C4"/>
    <w:rsid w:val="00C71E26"/>
    <w:rsid w:val="00C91F68"/>
    <w:rsid w:val="00CD2875"/>
    <w:rsid w:val="00CF58F4"/>
    <w:rsid w:val="00D452FE"/>
    <w:rsid w:val="00D500B9"/>
    <w:rsid w:val="00D92A94"/>
    <w:rsid w:val="00DE3B70"/>
    <w:rsid w:val="00E436C8"/>
    <w:rsid w:val="00E93562"/>
    <w:rsid w:val="00EB337F"/>
    <w:rsid w:val="00EB7482"/>
    <w:rsid w:val="00F04B89"/>
    <w:rsid w:val="00F13143"/>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19</Pages>
  <Words>10158</Words>
  <Characters>59936</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22</cp:revision>
  <cp:lastPrinted>2024-10-09T13:01:00Z</cp:lastPrinted>
  <dcterms:created xsi:type="dcterms:W3CDTF">2024-04-16T04:47:00Z</dcterms:created>
  <dcterms:modified xsi:type="dcterms:W3CDTF">2025-11-02T15:45:00Z</dcterms:modified>
</cp:coreProperties>
</file>