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A21D0B0"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7F451A" w:rsidRPr="007050CB">
        <w:rPr>
          <w:rFonts w:ascii="Arial" w:eastAsia="Calibri" w:hAnsi="Arial" w:cs="Arial"/>
          <w:b/>
          <w:bCs/>
          <w:sz w:val="20"/>
          <w:szCs w:val="20"/>
        </w:rPr>
        <w:t>Společenství vlastníků Karla Havlíčka Borovského 1497, Havířov, Podlesí</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1F809907" w:rsidR="00684D70" w:rsidRPr="00684D70" w:rsidRDefault="009140D9" w:rsidP="007050CB">
      <w:pPr>
        <w:tabs>
          <w:tab w:val="left" w:pos="1134"/>
          <w:tab w:val="left" w:pos="3119"/>
        </w:tabs>
        <w:spacing w:after="0" w:line="240" w:lineRule="auto"/>
        <w:ind w:left="3119" w:hanging="3119"/>
        <w:rPr>
          <w:rFonts w:ascii="Arial" w:eastAsia="Calibri" w:hAnsi="Arial" w:cs="Arial"/>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bookmarkStart w:id="2" w:name="_Hlk216692884"/>
      <w:r w:rsidR="007050CB" w:rsidRPr="007050CB">
        <w:rPr>
          <w:rFonts w:ascii="Arial" w:eastAsia="Calibri" w:hAnsi="Arial" w:cs="Arial"/>
          <w:b/>
          <w:bCs/>
          <w:sz w:val="20"/>
          <w:szCs w:val="20"/>
        </w:rPr>
        <w:t>Společenství vlastníků Karla Havlíčka Borovského 1497, Havířov, Podlesí</w:t>
      </w:r>
      <w:bookmarkEnd w:id="2"/>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t>Hornosušská 1041/ 2, Prostřední Suchá, 735 64 Havířov</w:t>
      </w:r>
    </w:p>
    <w:p w14:paraId="44113956" w14:textId="1D070770"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r>
      <w:r w:rsidR="007050CB" w:rsidRPr="007050CB">
        <w:rPr>
          <w:rFonts w:ascii="Arial" w:eastAsia="Calibri" w:hAnsi="Arial" w:cs="Arial"/>
          <w:sz w:val="20"/>
          <w:szCs w:val="20"/>
        </w:rPr>
        <w:t>05245141</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3" w:name="_Hlk90030236"/>
      <w:r w:rsidRPr="004F177D">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t>Hornosušská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sp.zn: DrXXII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BF8E3B2"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3B5A78">
        <w:rPr>
          <w:rFonts w:ascii="Arial" w:eastAsia="Calibri" w:hAnsi="Arial" w:cs="Arial"/>
          <w:sz w:val="20"/>
          <w:szCs w:val="20"/>
        </w:rPr>
        <w:t>Jiřím Kornfeldem</w:t>
      </w:r>
      <w:r w:rsidRPr="00684D70">
        <w:rPr>
          <w:rFonts w:ascii="Arial" w:eastAsia="Calibri" w:hAnsi="Arial" w:cs="Arial"/>
          <w:sz w:val="20"/>
          <w:szCs w:val="20"/>
        </w:rPr>
        <w:t>, členem představenstva</w:t>
      </w:r>
    </w:p>
    <w:bookmarkEnd w:id="3"/>
    <w:p w14:paraId="07F55715" w14:textId="60E79D18"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t>č.ú. 1478874/ 0300 u ČSOB a.s.</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č.ú.:</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6D32552F" w:rsidR="001B4FCA" w:rsidRPr="001B4FCA" w:rsidRDefault="00B35CE4" w:rsidP="00F44943">
      <w:pPr>
        <w:pStyle w:val="Default"/>
        <w:ind w:left="360"/>
        <w:rPr>
          <w:rFonts w:ascii="Arial" w:hAnsi="Arial" w:cs="Arial"/>
          <w:sz w:val="20"/>
          <w:szCs w:val="20"/>
        </w:rPr>
      </w:pPr>
      <w:r w:rsidRPr="00B35CE4">
        <w:rPr>
          <w:rFonts w:ascii="Arial" w:eastAsiaTheme="minorHAnsi" w:hAnsi="Arial" w:cs="Arial"/>
          <w:bCs/>
          <w:caps/>
          <w:color w:val="auto"/>
          <w:sz w:val="18"/>
          <w:szCs w:val="20"/>
        </w:rPr>
        <w:t>Výměna rozvodů kanalizace, vody a plynu v bytovém domě na ul. K. H. Borovského 1497/3 Havířov-Podlesí</w:t>
      </w:r>
      <w:r>
        <w:rPr>
          <w:rFonts w:ascii="Arial" w:eastAsiaTheme="minorHAnsi" w:hAnsi="Arial" w:cs="Arial"/>
          <w:b/>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64406A4"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D37DB7">
        <w:rPr>
          <w:rFonts w:ascii="Arial" w:eastAsia="Calibri" w:hAnsi="Arial" w:cs="Arial"/>
          <w:sz w:val="20"/>
          <w:szCs w:val="20"/>
        </w:rPr>
        <w:t xml:space="preserve"> firmou ETRACOM s.r.o. </w:t>
      </w:r>
      <w:r w:rsidRPr="001B4FCA">
        <w:rPr>
          <w:rFonts w:ascii="Arial" w:eastAsia="Calibri" w:hAnsi="Arial" w:cs="Arial"/>
          <w:sz w:val="20"/>
          <w:szCs w:val="20"/>
        </w:rPr>
        <w:t>z</w:t>
      </w:r>
      <w:r w:rsidR="00D37DB7">
        <w:rPr>
          <w:rFonts w:ascii="Arial" w:eastAsia="Calibri" w:hAnsi="Arial" w:cs="Arial"/>
          <w:sz w:val="20"/>
          <w:szCs w:val="20"/>
        </w:rPr>
        <w:t> 7/2023</w:t>
      </w:r>
      <w:r w:rsidRPr="001B4FCA">
        <w:rPr>
          <w:rFonts w:ascii="Arial" w:eastAsia="Calibri" w:hAnsi="Arial" w:cs="Arial"/>
          <w:sz w:val="20"/>
          <w:szCs w:val="20"/>
        </w:rPr>
        <w:t xml:space="preserve">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452A8337"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B35CE4">
        <w:rPr>
          <w:rFonts w:ascii="Arial" w:eastAsia="Calibri" w:hAnsi="Arial" w:cs="Arial"/>
          <w:b/>
          <w:bCs/>
          <w:color w:val="000000"/>
          <w:sz w:val="20"/>
          <w:szCs w:val="20"/>
        </w:rPr>
        <w:t>K.H. Borovského 1497/3</w:t>
      </w:r>
      <w:r w:rsidR="00684D70" w:rsidRPr="00684D70">
        <w:rPr>
          <w:rFonts w:ascii="Arial" w:eastAsia="Calibri" w:hAnsi="Arial" w:cs="Arial"/>
          <w:b/>
          <w:bCs/>
          <w:color w:val="000000"/>
          <w:sz w:val="20"/>
          <w:szCs w:val="20"/>
        </w:rPr>
        <w:t>, Havířov</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(pdf)*,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0637123D"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8D4E3F">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8D4E3F">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71387DE2" w14:textId="77777777" w:rsidR="008D4E3F" w:rsidRDefault="00A93DE1" w:rsidP="001B4FCA">
      <w:pPr>
        <w:spacing w:after="0" w:line="240" w:lineRule="auto"/>
        <w:rPr>
          <w:rFonts w:ascii="Arial" w:eastAsia="Calibri" w:hAnsi="Arial" w:cs="Arial"/>
          <w:b/>
          <w:bCs/>
          <w:sz w:val="20"/>
          <w:szCs w:val="20"/>
        </w:rPr>
      </w:pPr>
      <w:r w:rsidRPr="007050CB">
        <w:rPr>
          <w:rFonts w:ascii="Arial" w:eastAsia="Calibri" w:hAnsi="Arial" w:cs="Arial"/>
          <w:b/>
          <w:bCs/>
          <w:sz w:val="20"/>
          <w:szCs w:val="20"/>
        </w:rPr>
        <w:t>Společenství vlastníků Karla Havlíčka Borovského 1497,</w:t>
      </w:r>
    </w:p>
    <w:p w14:paraId="4FE0725E" w14:textId="6CA0D5D7" w:rsidR="00684D70" w:rsidRPr="00684D70" w:rsidRDefault="00A93DE1" w:rsidP="008D4E3F">
      <w:pPr>
        <w:spacing w:after="0" w:line="240" w:lineRule="auto"/>
        <w:ind w:left="708" w:firstLine="708"/>
        <w:rPr>
          <w:rFonts w:ascii="Arial" w:eastAsia="Calibri" w:hAnsi="Arial" w:cs="Arial"/>
          <w:b/>
          <w:bCs/>
          <w:sz w:val="20"/>
          <w:szCs w:val="20"/>
        </w:rPr>
      </w:pPr>
      <w:r w:rsidRPr="007050CB">
        <w:rPr>
          <w:rFonts w:ascii="Arial" w:eastAsia="Calibri" w:hAnsi="Arial" w:cs="Arial"/>
          <w:b/>
          <w:bCs/>
          <w:sz w:val="20"/>
          <w:szCs w:val="20"/>
        </w:rPr>
        <w:t>Havířov, Podlesí</w:t>
      </w:r>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3C30D945"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423EDC">
        <w:rPr>
          <w:rFonts w:ascii="Arial" w:eastAsia="Calibri" w:hAnsi="Arial" w:cs="Arial"/>
          <w:sz w:val="20"/>
          <w:szCs w:val="20"/>
        </w:rPr>
        <w:t>Jiřím Kornfeldem</w:t>
      </w:r>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(2) Tyto VOP jsou součástí uzavírané smlouvy o dílo a musí být ke každé smlouvě přiloženy tak, aby byly oběma smluvním stranám dostupné. V případě, že SBD uzavře se stejným dodavatelem několik smluv, lze tyto VOP přiložit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 xml:space="preserve">d) výsledky projednání s dotčenými orgány a vlastníky v rámci územního a stavebního řízení a podmínky stanovené </w:t>
      </w:r>
      <w:r w:rsidRPr="001B4FCA">
        <w:rPr>
          <w:rFonts w:ascii="Calibri" w:eastAsia="Calibri" w:hAnsi="Calibri" w:cs="Times New Roman"/>
          <w:sz w:val="18"/>
          <w:szCs w:val="18"/>
        </w:rPr>
        <w:lastRenderedPageBreak/>
        <w:t>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(pdf)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vyhl.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2F372F"/>
    <w:rsid w:val="00310F77"/>
    <w:rsid w:val="00336CB1"/>
    <w:rsid w:val="00350DC7"/>
    <w:rsid w:val="0036114A"/>
    <w:rsid w:val="00375C6F"/>
    <w:rsid w:val="003B5A78"/>
    <w:rsid w:val="003C1F03"/>
    <w:rsid w:val="003E77E7"/>
    <w:rsid w:val="00406B71"/>
    <w:rsid w:val="00411B39"/>
    <w:rsid w:val="00423EDC"/>
    <w:rsid w:val="00456E4D"/>
    <w:rsid w:val="00467990"/>
    <w:rsid w:val="0048796B"/>
    <w:rsid w:val="004B67E0"/>
    <w:rsid w:val="004D0BF8"/>
    <w:rsid w:val="004E1007"/>
    <w:rsid w:val="004E4676"/>
    <w:rsid w:val="004F177D"/>
    <w:rsid w:val="00566135"/>
    <w:rsid w:val="00594AF6"/>
    <w:rsid w:val="005A1F90"/>
    <w:rsid w:val="005A477F"/>
    <w:rsid w:val="005E00A7"/>
    <w:rsid w:val="00600BA5"/>
    <w:rsid w:val="006047BF"/>
    <w:rsid w:val="006239CC"/>
    <w:rsid w:val="0063277D"/>
    <w:rsid w:val="00661232"/>
    <w:rsid w:val="00684D70"/>
    <w:rsid w:val="00692833"/>
    <w:rsid w:val="006C520F"/>
    <w:rsid w:val="006D4A2E"/>
    <w:rsid w:val="006E06FD"/>
    <w:rsid w:val="007050CB"/>
    <w:rsid w:val="00716661"/>
    <w:rsid w:val="007250F7"/>
    <w:rsid w:val="00733D18"/>
    <w:rsid w:val="00734EE9"/>
    <w:rsid w:val="00736C4A"/>
    <w:rsid w:val="00764DA7"/>
    <w:rsid w:val="007B36A0"/>
    <w:rsid w:val="007E7CED"/>
    <w:rsid w:val="007F451A"/>
    <w:rsid w:val="0080196D"/>
    <w:rsid w:val="00810931"/>
    <w:rsid w:val="008157EF"/>
    <w:rsid w:val="008224E1"/>
    <w:rsid w:val="00822895"/>
    <w:rsid w:val="008834C6"/>
    <w:rsid w:val="008D25F1"/>
    <w:rsid w:val="008D4E3F"/>
    <w:rsid w:val="00912EC2"/>
    <w:rsid w:val="009140D9"/>
    <w:rsid w:val="0096462A"/>
    <w:rsid w:val="00990B1E"/>
    <w:rsid w:val="009C4057"/>
    <w:rsid w:val="00A04042"/>
    <w:rsid w:val="00A32B49"/>
    <w:rsid w:val="00A93DE1"/>
    <w:rsid w:val="00AB1025"/>
    <w:rsid w:val="00AB4043"/>
    <w:rsid w:val="00AD0C20"/>
    <w:rsid w:val="00AF6FC8"/>
    <w:rsid w:val="00B06FAD"/>
    <w:rsid w:val="00B35CE4"/>
    <w:rsid w:val="00B41A55"/>
    <w:rsid w:val="00B50846"/>
    <w:rsid w:val="00B93D2B"/>
    <w:rsid w:val="00BB2683"/>
    <w:rsid w:val="00BD0BED"/>
    <w:rsid w:val="00BF2364"/>
    <w:rsid w:val="00C32A2B"/>
    <w:rsid w:val="00C36A73"/>
    <w:rsid w:val="00C606C4"/>
    <w:rsid w:val="00C71E26"/>
    <w:rsid w:val="00C91F68"/>
    <w:rsid w:val="00CD2875"/>
    <w:rsid w:val="00CF58F4"/>
    <w:rsid w:val="00D37DB7"/>
    <w:rsid w:val="00D452FE"/>
    <w:rsid w:val="00D500B9"/>
    <w:rsid w:val="00D92A94"/>
    <w:rsid w:val="00DE3B70"/>
    <w:rsid w:val="00E436C8"/>
    <w:rsid w:val="00E93562"/>
    <w:rsid w:val="00EB337F"/>
    <w:rsid w:val="00EB7482"/>
    <w:rsid w:val="00F04B89"/>
    <w:rsid w:val="00F13143"/>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10165</Words>
  <Characters>59980</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31</cp:revision>
  <cp:lastPrinted>2024-10-09T13:01:00Z</cp:lastPrinted>
  <dcterms:created xsi:type="dcterms:W3CDTF">2024-04-16T04:47:00Z</dcterms:created>
  <dcterms:modified xsi:type="dcterms:W3CDTF">2025-12-19T08:30:00Z</dcterms:modified>
</cp:coreProperties>
</file>